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A9745B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A9745B" w:rsidRPr="00A9745B" w:rsidRDefault="00A9745B" w:rsidP="00A9745B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A9745B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A9745B" w:rsidRPr="00A9745B" w:rsidRDefault="00A9745B" w:rsidP="00A9745B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A9745B" w:rsidRPr="00A9745B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A9745B" w:rsidRPr="00A9745B" w:rsidRDefault="00A9745B" w:rsidP="00A9745B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A9745B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A9745B" w:rsidRPr="00A9745B" w:rsidRDefault="00A9745B" w:rsidP="00A9745B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A9745B">
              <w:rPr>
                <w:rFonts w:ascii="Calibri Light" w:eastAsia="Times New Roman" w:hAnsi="Calibri Light" w:cs="Times New Roman"/>
                <w:szCs w:val="20"/>
                <w:lang w:val="en-US"/>
              </w:rPr>
              <w:t>Davies Ward Phillips &amp; Vineberg LLP</w:t>
            </w:r>
          </w:p>
        </w:tc>
      </w:tr>
    </w:tbl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</w:p>
    <w:p w:rsidR="00A9745B" w:rsidRPr="00A9745B" w:rsidRDefault="00A9745B" w:rsidP="00A9745B">
      <w:pPr>
        <w:numPr>
          <w:ilvl w:val="0"/>
          <w:numId w:val="2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A9745B">
        <w:rPr>
          <w:rFonts w:ascii="Calibri Light" w:eastAsia="Times New Roman" w:hAnsi="Calibri Light" w:cs="Times New Roman"/>
          <w:szCs w:val="20"/>
          <w:lang w:val="en-US"/>
        </w:rPr>
        <w:t>Davies, Ward &amp; Beck</w:t>
      </w:r>
    </w:p>
    <w:p w:rsidR="00A9745B" w:rsidRPr="00A9745B" w:rsidRDefault="00A9745B" w:rsidP="00A9745B">
      <w:pPr>
        <w:numPr>
          <w:ilvl w:val="0"/>
          <w:numId w:val="2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A9745B">
        <w:rPr>
          <w:rFonts w:ascii="Calibri Light" w:eastAsia="Times New Roman" w:hAnsi="Calibri Light" w:cs="Times New Roman"/>
          <w:szCs w:val="20"/>
          <w:lang w:val="en-US"/>
        </w:rPr>
        <w:t>Davies, Ward &amp; Beck LLP</w:t>
      </w:r>
    </w:p>
    <w:p w:rsidR="00A9745B" w:rsidRPr="00A9745B" w:rsidRDefault="00A9745B" w:rsidP="00A9745B">
      <w:pPr>
        <w:numPr>
          <w:ilvl w:val="0"/>
          <w:numId w:val="2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A9745B">
        <w:rPr>
          <w:rFonts w:ascii="Calibri Light" w:eastAsia="Times New Roman" w:hAnsi="Calibri Light" w:cs="Times New Roman"/>
          <w:szCs w:val="20"/>
          <w:lang w:val="en-US"/>
        </w:rPr>
        <w:t>Goodman Phillips &amp; Vineberg SENC</w:t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  <w:t>February 1, 2001</w:t>
      </w:r>
    </w:p>
    <w:p w:rsidR="00A9745B" w:rsidRPr="00A9745B" w:rsidRDefault="00A9745B" w:rsidP="00A9745B">
      <w:pPr>
        <w:numPr>
          <w:ilvl w:val="0"/>
          <w:numId w:val="2"/>
        </w:num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A9745B">
        <w:rPr>
          <w:rFonts w:ascii="Calibri Light" w:eastAsia="Times New Roman" w:hAnsi="Calibri Light" w:cs="Times New Roman"/>
          <w:szCs w:val="20"/>
          <w:lang w:val="en-US"/>
        </w:rPr>
        <w:t>Phillips &amp; Vineberg SENC</w:t>
      </w: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1080"/>
        </w:tabs>
        <w:spacing w:after="0" w:line="240" w:lineRule="auto"/>
        <w:ind w:left="36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A9745B" w:rsidRPr="00A9745B" w:rsidRDefault="00A9745B" w:rsidP="00A9745B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A9745B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A9745B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5740B" w:rsidRPr="00D127DE" w:rsidRDefault="00A5740B">
      <w:pPr>
        <w:rPr>
          <w:lang w:val="en-US"/>
        </w:rPr>
      </w:pPr>
      <w:bookmarkStart w:id="0" w:name="_GoBack"/>
      <w:bookmarkEnd w:id="0"/>
    </w:p>
    <w:sectPr w:rsidR="00A5740B" w:rsidRPr="00D127DE" w:rsidSect="00D127DE">
      <w:pgSz w:w="12240" w:h="15840"/>
      <w:pgMar w:top="1440" w:right="1440" w:bottom="1440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A5740B"/>
    <w:rsid w:val="00A7087C"/>
    <w:rsid w:val="00A9745B"/>
    <w:rsid w:val="00D1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2</cp:revision>
  <dcterms:created xsi:type="dcterms:W3CDTF">2017-02-21T15:26:00Z</dcterms:created>
  <dcterms:modified xsi:type="dcterms:W3CDTF">2017-02-21T15:26:00Z</dcterms:modified>
</cp:coreProperties>
</file>